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5546BA">
        <w:trPr>
          <w:trHeight w:val="386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64229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B155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5546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5546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6422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6A39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642290" w:rsidRDefault="00642290" w:rsidP="00304C41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2290">
              <w:rPr>
                <w:rFonts w:ascii="Arial" w:hAnsi="Arial" w:cs="Arial"/>
                <w:sz w:val="20"/>
                <w:szCs w:val="20"/>
              </w:rPr>
              <w:t xml:space="preserve">Wnioski o objęcie refundacją </w:t>
            </w:r>
            <w:bookmarkStart w:id="0" w:name="_GoBack"/>
            <w:bookmarkEnd w:id="0"/>
            <w:r w:rsidRPr="00642290">
              <w:rPr>
                <w:rFonts w:ascii="Arial" w:hAnsi="Arial" w:cs="Arial"/>
                <w:sz w:val="20"/>
                <w:szCs w:val="20"/>
              </w:rPr>
              <w:t xml:space="preserve">i ustalenie urzędowej ceny zbytu leku </w:t>
            </w:r>
            <w:r w:rsidRPr="00642290">
              <w:rPr>
                <w:rFonts w:ascii="Arial" w:hAnsi="Arial" w:cs="Arial"/>
                <w:b/>
                <w:sz w:val="20"/>
                <w:szCs w:val="20"/>
              </w:rPr>
              <w:t xml:space="preserve">Oxepilax (oxcarbazepinum), tabletki, 600 mg, 50 szt., EAN 5909991057497 oraz Oxepilax (oxcarbazepinum), tabletki, 300 mg, 50 szt., EAN 5909991057480, </w:t>
            </w:r>
            <w:r w:rsidRPr="00642290">
              <w:rPr>
                <w:rFonts w:ascii="Arial" w:hAnsi="Arial" w:cs="Arial"/>
                <w:sz w:val="20"/>
                <w:szCs w:val="20"/>
              </w:rPr>
              <w:t xml:space="preserve">we wskazaniu: </w:t>
            </w:r>
            <w:r w:rsidRPr="00642290">
              <w:rPr>
                <w:rFonts w:ascii="Arial" w:hAnsi="Arial" w:cs="Arial"/>
                <w:b/>
                <w:sz w:val="20"/>
                <w:szCs w:val="20"/>
              </w:rPr>
              <w:t xml:space="preserve">padaczka (monoterapia i leczenie skojarzone I rzutu napadów padaczkowych częściowych z towarzyszącymi lub nie wtórnie uogólnionymi napadami toniczno-klonicznymi u dorosłych i dzieci w wieku 6 lat i starszych) </w:t>
            </w:r>
            <w:r w:rsidRPr="0064229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42290">
              <w:rPr>
                <w:rFonts w:ascii="Arial" w:hAnsi="Arial" w:cs="Arial"/>
                <w:b/>
                <w:sz w:val="20"/>
                <w:szCs w:val="20"/>
              </w:rPr>
              <w:t>zlecenie nr 081/2015 w BIP Agencji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F1DE4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F1DE4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F1DE4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F1DE4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F1DE4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72491"/>
    <w:multiLevelType w:val="hybridMultilevel"/>
    <w:tmpl w:val="329C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F1DE4"/>
    <w:rsid w:val="001C62D0"/>
    <w:rsid w:val="00304C41"/>
    <w:rsid w:val="00515881"/>
    <w:rsid w:val="005315E7"/>
    <w:rsid w:val="005546BA"/>
    <w:rsid w:val="00572441"/>
    <w:rsid w:val="006418B6"/>
    <w:rsid w:val="00642290"/>
    <w:rsid w:val="006A39E9"/>
    <w:rsid w:val="007220AD"/>
    <w:rsid w:val="00953DA2"/>
    <w:rsid w:val="00A82C21"/>
    <w:rsid w:val="00B155C0"/>
    <w:rsid w:val="00B84394"/>
    <w:rsid w:val="00C7010D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aliases w:val="Styl moj,List Paragraph,Akapit z listą11,List Paragraph1"/>
    <w:basedOn w:val="Normalny"/>
    <w:link w:val="AkapitzlistZnak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tyl moj Znak,List Paragraph Znak,Akapit z listą11 Znak,List Paragraph1 Znak"/>
    <w:basedOn w:val="Domylnaczcionkaakapitu"/>
    <w:link w:val="Akapitzlist"/>
    <w:uiPriority w:val="34"/>
    <w:locked/>
    <w:rsid w:val="006422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Garbaty</cp:lastModifiedBy>
  <cp:revision>6</cp:revision>
  <dcterms:created xsi:type="dcterms:W3CDTF">2015-05-22T07:36:00Z</dcterms:created>
  <dcterms:modified xsi:type="dcterms:W3CDTF">2015-07-31T07:17:00Z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